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757244">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b/>
          <w:bCs/>
          <w:sz w:val="32"/>
          <w:szCs w:val="32"/>
        </w:rPr>
      </w:pPr>
      <w:bookmarkStart w:id="0" w:name="_GoBack"/>
      <w:r>
        <w:rPr>
          <w:rFonts w:hint="eastAsia" w:ascii="仿宋_GB2312" w:hAnsi="仿宋_GB2312" w:eastAsia="仿宋_GB2312" w:cs="仿宋_GB2312"/>
          <w:b/>
          <w:bCs/>
          <w:sz w:val="32"/>
          <w:szCs w:val="32"/>
        </w:rPr>
        <w:t>附件1</w:t>
      </w:r>
    </w:p>
    <w:bookmarkEnd w:id="0"/>
    <w:p w14:paraId="38E86898">
      <w:pPr>
        <w:keepNext w:val="0"/>
        <w:keepLines w:val="0"/>
        <w:pageBreakBefore w:val="0"/>
        <w:widowControl/>
        <w:kinsoku w:val="0"/>
        <w:wordWrap/>
        <w:overflowPunct/>
        <w:topLinePunct w:val="0"/>
        <w:autoSpaceDE w:val="0"/>
        <w:autoSpaceDN w:val="0"/>
        <w:bidi w:val="0"/>
        <w:adjustRightInd w:val="0"/>
        <w:snapToGrid w:val="0"/>
        <w:spacing w:line="600" w:lineRule="exact"/>
        <w:ind w:firstLine="800" w:firstLineChars="200"/>
        <w:jc w:val="center"/>
        <w:textAlignment w:val="baseline"/>
        <w:rPr>
          <w:rFonts w:hint="eastAsia" w:ascii="方正公文小标宋" w:hAnsi="方正公文小标宋" w:eastAsia="方正公文小标宋" w:cs="方正公文小标宋"/>
          <w:sz w:val="40"/>
          <w:szCs w:val="40"/>
        </w:rPr>
      </w:pPr>
      <w:r>
        <w:rPr>
          <w:rFonts w:hint="eastAsia" w:ascii="方正公文小标宋" w:hAnsi="方正公文小标宋" w:eastAsia="方正公文小标宋" w:cs="方正公文小标宋"/>
          <w:sz w:val="40"/>
          <w:szCs w:val="40"/>
        </w:rPr>
        <w:t>立德树人机制综合改革试点单位</w:t>
      </w:r>
    </w:p>
    <w:p w14:paraId="3247C1AE">
      <w:pPr>
        <w:keepNext w:val="0"/>
        <w:keepLines w:val="0"/>
        <w:pageBreakBefore w:val="0"/>
        <w:widowControl/>
        <w:kinsoku w:val="0"/>
        <w:wordWrap/>
        <w:overflowPunct/>
        <w:topLinePunct w:val="0"/>
        <w:autoSpaceDE w:val="0"/>
        <w:autoSpaceDN w:val="0"/>
        <w:bidi w:val="0"/>
        <w:adjustRightInd w:val="0"/>
        <w:snapToGrid w:val="0"/>
        <w:spacing w:line="600" w:lineRule="exact"/>
        <w:ind w:firstLine="800" w:firstLineChars="200"/>
        <w:jc w:val="center"/>
        <w:textAlignment w:val="baseline"/>
        <w:rPr>
          <w:rFonts w:hint="eastAsia" w:ascii="方正公文小标宋" w:hAnsi="方正公文小标宋" w:eastAsia="方正公文小标宋" w:cs="方正公文小标宋"/>
          <w:sz w:val="40"/>
          <w:szCs w:val="40"/>
        </w:rPr>
      </w:pPr>
      <w:r>
        <w:rPr>
          <w:rFonts w:hint="eastAsia" w:ascii="方正公文小标宋" w:hAnsi="方正公文小标宋" w:eastAsia="方正公文小标宋" w:cs="方正公文小标宋"/>
          <w:sz w:val="40"/>
          <w:szCs w:val="40"/>
        </w:rPr>
        <w:t>任务清单</w:t>
      </w:r>
    </w:p>
    <w:p w14:paraId="2DC5E8EB">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rPr>
      </w:pPr>
    </w:p>
    <w:p w14:paraId="083C0682">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共五大类13个方面问题。</w:t>
      </w:r>
    </w:p>
    <w:p w14:paraId="3EF5D986">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sz w:val="32"/>
          <w:szCs w:val="32"/>
        </w:rPr>
      </w:pPr>
      <w:r>
        <w:rPr>
          <w:rFonts w:hint="eastAsia" w:ascii="方正楷体_GB2312" w:hAnsi="方正楷体_GB2312" w:eastAsia="方正楷体_GB2312" w:cs="方正楷体_GB2312"/>
          <w:b/>
          <w:bCs/>
          <w:sz w:val="32"/>
          <w:szCs w:val="32"/>
        </w:rPr>
        <w:t>第一类是领导体制。</w:t>
      </w:r>
      <w:r>
        <w:rPr>
          <w:rFonts w:hint="eastAsia" w:ascii="仿宋_GB2312" w:hAnsi="仿宋_GB2312" w:eastAsia="仿宋_GB2312" w:cs="仿宋_GB2312"/>
          <w:sz w:val="32"/>
          <w:szCs w:val="32"/>
        </w:rPr>
        <w:t>如何进一步推动党对学校的全面领导具体化。重点突破方向包括：进一步完善落实“两个维护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的制度机制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各级教育工作领导小组成员单位落实立德树人根本任务职责清单；提升高校党委领导下的校长负责制运行效能，全面落实中小学校党组织领导的校长负责制；强化基层党组织两个功能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加强民办学校党建等。</w:t>
      </w:r>
    </w:p>
    <w:p w14:paraId="1A5629A4">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sz w:val="32"/>
          <w:szCs w:val="32"/>
        </w:rPr>
      </w:pPr>
      <w:r>
        <w:rPr>
          <w:rFonts w:hint="eastAsia" w:ascii="方正楷体_GB2312" w:hAnsi="方正楷体_GB2312" w:eastAsia="方正楷体_GB2312" w:cs="方正楷体_GB2312"/>
          <w:b/>
          <w:bCs/>
          <w:sz w:val="32"/>
          <w:szCs w:val="32"/>
        </w:rPr>
        <w:t>第二类是育人场域。</w:t>
      </w:r>
      <w:r>
        <w:rPr>
          <w:rFonts w:hint="eastAsia" w:ascii="仿宋_GB2312" w:hAnsi="仿宋_GB2312" w:eastAsia="仿宋_GB2312" w:cs="仿宋_GB2312"/>
          <w:sz w:val="32"/>
          <w:szCs w:val="32"/>
        </w:rPr>
        <w:t>一是如何常态化、分众化加强干部师生理论武装。重点突破方向包括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完善党员干部、教师、思政队伍和学生骨干理论素养和政治能力提升机制；健全党 员基本培训组织模式、课程体系；加强党的创新理论体系化学理化研究阐释等。二是如何守正创新推动思政课内涵式发展。重点突破方向包括：构建分层分类的精品思政资源体系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推动数字技术赋能思政课教学改革，打造“壮美广西·大思政课”育人品牌，配齐建强思政课教师队伍，建立思政课教学质量保障机制。三是如何拓展实践育人与网络育人的空间和阵地。重点突破方向包括：构建实践育人大课堂，打造教育引导品牌项目，推进社会实践专业化规范化科学化学分化建设；构建分行业分领域育人共同体；学生网络行为感知分析研判机制；网络育人内容针对性提升渠道；网络文化成果评价认证体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课上课下协同、校内校外一体、线上线下融合实施路径等。</w:t>
      </w:r>
    </w:p>
    <w:p w14:paraId="34DDA9F7">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sz w:val="32"/>
          <w:szCs w:val="32"/>
        </w:rPr>
      </w:pPr>
      <w:r>
        <w:rPr>
          <w:rFonts w:hint="eastAsia" w:ascii="方正楷体_GB2312" w:hAnsi="方正楷体_GB2312" w:eastAsia="方正楷体_GB2312" w:cs="方正楷体_GB2312"/>
          <w:b/>
          <w:bCs/>
          <w:sz w:val="32"/>
          <w:szCs w:val="32"/>
        </w:rPr>
        <w:t>第三类是育人体系。</w:t>
      </w:r>
      <w:r>
        <w:rPr>
          <w:rFonts w:hint="eastAsia" w:ascii="仿宋_GB2312" w:hAnsi="仿宋_GB2312" w:eastAsia="仿宋_GB2312" w:cs="仿宋_GB2312"/>
          <w:sz w:val="32"/>
          <w:szCs w:val="32"/>
        </w:rPr>
        <w:t>一是如何充分发挥校园文化育人功能。重点突破方向包括：健全铸牢中华民族共 同体意识制度机制；构建以开学、毕业典礼 为核心的中国高校仪式教育体系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中华优秀传统文化、革命文化、社会主义先进文化熏陶涵育机制等。二是如何强化五育并举，促进学生全面健康成长。重点突破方向包括：德育贯穿智育、体育、美育、劳动教育全过程的机制办法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学生理性平和、积极阳光健康心态培育路径机制；探索在法律和政策层面破解学生转介治疗难题等。三是如何完善维护学校安全稳定工作体系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重点突破方向包括：健全党委研判决策、相关部门组织实施、一线队伍落实的维稳体系；大学城等高校集中区域及校园周边综合治理机制构建；“一站式 ”学生社 区分学段精准覆盖等。</w:t>
      </w:r>
    </w:p>
    <w:p w14:paraId="303973D0">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sz w:val="32"/>
          <w:szCs w:val="32"/>
        </w:rPr>
      </w:pPr>
      <w:r>
        <w:rPr>
          <w:rFonts w:hint="eastAsia" w:ascii="方正楷体_GB2312" w:hAnsi="方正楷体_GB2312" w:eastAsia="方正楷体_GB2312" w:cs="方正楷体_GB2312"/>
          <w:b/>
          <w:bCs/>
          <w:sz w:val="32"/>
          <w:szCs w:val="32"/>
        </w:rPr>
        <w:t>第四类是育人机制。</w:t>
      </w:r>
      <w:r>
        <w:rPr>
          <w:rFonts w:hint="eastAsia" w:ascii="仿宋_GB2312" w:hAnsi="仿宋_GB2312" w:eastAsia="仿宋_GB2312" w:cs="仿宋_GB2312"/>
          <w:sz w:val="32"/>
          <w:szCs w:val="32"/>
        </w:rPr>
        <w:t>一是如何深入推进大中小学思想 政治教育一体化。重点突破方向包括：围绕机制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体系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场域、评价一体化，聚焦课程讲授、实践体悟、文化熏陶、心理健康、网络素养、队伍赋能等关键环节，探索形成有效衔接、螺旋上升的具体落实机制。二是如何不断完善校家社协同育人体系。重点突破方向包括：心理危机学生多部门联合发现与应急处置机制；探索设立家长 学校、家长课堂；育人资源汇聚开发、调配协同机制等。三是如何推动高校党建和业务深度融合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重点突破方向包括：坚持党建工作和业务工作一起谋划、一起部署、一起落实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一起检查，在高校领导班子年度考核、任期考核工作中坚持党建工作与业务工作同步考核等。</w:t>
      </w:r>
    </w:p>
    <w:p w14:paraId="5815120D">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sz w:val="32"/>
          <w:szCs w:val="32"/>
        </w:rPr>
      </w:pPr>
      <w:r>
        <w:rPr>
          <w:rFonts w:hint="eastAsia" w:ascii="方正楷体_GB2312" w:hAnsi="方正楷体_GB2312" w:eastAsia="方正楷体_GB2312" w:cs="方正楷体_GB2312"/>
          <w:b/>
          <w:bCs/>
          <w:sz w:val="32"/>
          <w:szCs w:val="32"/>
        </w:rPr>
        <w:t>第五类是力量支撑。</w:t>
      </w:r>
      <w:r>
        <w:rPr>
          <w:rFonts w:hint="eastAsia" w:ascii="仿宋_GB2312" w:hAnsi="仿宋_GB2312" w:eastAsia="仿宋_GB2312" w:cs="仿宋_GB2312"/>
          <w:sz w:val="32"/>
          <w:szCs w:val="32"/>
        </w:rPr>
        <w:t>一是如何选好用好编好培根铸魂、启智增慧高质量教材。重点突破方向包括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用好中小学（含中职）道德与法治（思想政治）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语文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历史三科统编教材、高校思政课统编教材、高校马工程重点教材；将习近平总书记地方重大实践与重要论述融入校本课程及高校自编教材读本，高校可结合实际开发一批大纲、讲义、教程、活页、课件、微课、实践案例、学习素材等多种形态教学资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二是如何运用人工智能赋能思政教育。重点突破方向包括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探索人工智能赋能思政教育创新模式，建立思政教育大模型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打造党建智能助手、AI 辅导员、数智“一站式 ”学生社区等。三是如何提升高校思政工作队伍建设质量。重点突破方向包括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完善政策支持、编制配备、经费投入等保障机制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专职思政课教师、辅导员高级职称比例提升至10%及以上，实施专职思政课教师和辅导员队伍培育计划等。</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1" w:fontKey="{E4805109-6062-49C3-BF13-4D584BD41AD2}"/>
  </w:font>
  <w:font w:name="方正公文小标宋">
    <w:panose1 w:val="02000500000000000000"/>
    <w:charset w:val="86"/>
    <w:family w:val="auto"/>
    <w:pitch w:val="default"/>
    <w:sig w:usb0="A00002BF" w:usb1="38CF7CFA" w:usb2="00000016" w:usb3="00000000" w:csb0="00040001" w:csb1="00000000"/>
    <w:embedRegular r:id="rId2" w:fontKey="{4E5B12D4-A2C0-42DF-9AFC-6D257D58C36A}"/>
  </w:font>
  <w:font w:name="方正楷体_GB2312">
    <w:panose1 w:val="02000000000000000000"/>
    <w:charset w:val="86"/>
    <w:family w:val="auto"/>
    <w:pitch w:val="default"/>
    <w:sig w:usb0="A00002BF" w:usb1="184F6CFA" w:usb2="00000012" w:usb3="00000000" w:csb0="00040001" w:csb1="00000000"/>
    <w:embedRegular r:id="rId3" w:fontKey="{B0053F2C-3466-4BE9-B273-1174D0EA06B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44AE6">
    <w:pPr>
      <w:spacing w:line="233" w:lineRule="auto"/>
      <w:rPr>
        <w:rFonts w:ascii="宋体" w:hAnsi="宋体" w:eastAsia="宋体" w:cs="宋体"/>
        <w:sz w:val="28"/>
        <w:szCs w:val="28"/>
      </w:rPr>
    </w:pPr>
    <w:r>
      <w:rPr>
        <w:rFonts w:ascii="宋体" w:hAnsi="宋体" w:eastAsia="宋体" w:cs="宋体"/>
        <w:spacing w:val="6"/>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59612E"/>
    <w:rsid w:val="26EC07EF"/>
    <w:rsid w:val="4F59612E"/>
    <w:rsid w:val="68C82D9A"/>
    <w:rsid w:val="774B5945"/>
    <w:rsid w:val="7BDA1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1502</Words>
  <Characters>1506</Characters>
  <Lines>0</Lines>
  <Paragraphs>0</Paragraphs>
  <TotalTime>197</TotalTime>
  <ScaleCrop>false</ScaleCrop>
  <LinksUpToDate>false</LinksUpToDate>
  <CharactersWithSpaces>1517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2026-03-09T03:52:00Z</dcterms:created>
  <dc:creator>李秋</dc:creator>
  <cp:lastModifiedBy>李秋</cp:lastModifiedBy>
  <cp:lastPrinted>2026-03-09T07:16:00Z</cp:lastPrinted>
  <dcterms:modified xsi:type="dcterms:W3CDTF">2026-03-09T08:10:43Z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BD6F2C6E6C534FB9B52DAA631BFD1C66_13</vt:lpwstr>
  </property>
  <property fmtid="{D5CDD505-2E9C-101B-9397-08002B2CF9AE}" pid="4" name="KSOTemplateDocerSaveRecord">
    <vt:lpwstr>eyJoZGlkIjoiYjhhZjE3MmRkMTBjMWIzMWY1NjE1ZTVkMTkwNTQ5YjkiLCJ1c2VySWQiOiI1MTQ4MDU3MjQifQ==</vt:lpwstr>
  </property>
</Properties>
</file>